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C2F8A" w14:textId="052ECDF7" w:rsidR="00AE307B" w:rsidRPr="008866C5" w:rsidRDefault="00AE307B" w:rsidP="00AE307B">
      <w:pPr>
        <w:pStyle w:val="a4"/>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505B32" w:rsidRPr="00505B32">
        <w:rPr>
          <w:rFonts w:cs="Arial"/>
          <w:noProof w:val="0"/>
          <w:sz w:val="24"/>
          <w:lang w:eastAsia="zh-CN"/>
        </w:rPr>
        <w:t>R3-234184</w:t>
      </w:r>
    </w:p>
    <w:p w14:paraId="5DD887DD" w14:textId="77777777" w:rsidR="00AE307B" w:rsidRDefault="00AE307B" w:rsidP="00AE307B">
      <w:pPr>
        <w:pStyle w:val="a4"/>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August </w:t>
      </w:r>
      <w:r w:rsidRPr="00663AA3">
        <w:rPr>
          <w:rFonts w:cs="Arial"/>
          <w:bCs/>
          <w:noProof w:val="0"/>
          <w:sz w:val="24"/>
          <w:szCs w:val="24"/>
        </w:rPr>
        <w:t>2023</w:t>
      </w:r>
    </w:p>
    <w:p w14:paraId="0567FBEF" w14:textId="77777777" w:rsidR="00BF58D1" w:rsidRPr="00AE307B" w:rsidRDefault="00BF58D1" w:rsidP="00BF58D1">
      <w:pPr>
        <w:pStyle w:val="ad"/>
        <w:rPr>
          <w:rFonts w:eastAsiaTheme="minorEastAsia"/>
          <w:lang w:eastAsia="zh-CN"/>
        </w:rPr>
      </w:pPr>
    </w:p>
    <w:p w14:paraId="061B5772" w14:textId="0CC2FBC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EA1A03">
        <w:rPr>
          <w:rFonts w:ascii="Arial" w:hAnsi="Arial" w:cs="Arial"/>
          <w:b/>
          <w:bCs/>
          <w:sz w:val="24"/>
        </w:rPr>
        <w:t>15.2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F31436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614936">
        <w:rPr>
          <w:rFonts w:ascii="Arial" w:hAnsi="Arial" w:cs="Arial"/>
          <w:b/>
          <w:bCs/>
          <w:sz w:val="24"/>
        </w:rPr>
        <w:t>Remaining issue</w:t>
      </w:r>
      <w:r w:rsidR="00180F77" w:rsidRPr="00180F77">
        <w:rPr>
          <w:rFonts w:ascii="Arial" w:hAnsi="Arial" w:cs="Arial" w:hint="eastAsia"/>
          <w:b/>
          <w:bCs/>
          <w:sz w:val="24"/>
        </w:rPr>
        <w:t>s</w:t>
      </w:r>
      <w:r w:rsidR="00614936">
        <w:rPr>
          <w:rFonts w:ascii="Arial" w:hAnsi="Arial" w:cs="Arial"/>
          <w:b/>
          <w:bCs/>
          <w:sz w:val="24"/>
        </w:rPr>
        <w:t xml:space="preserve"> of supporting MBS reception in RAN Sharing</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4EFAFF0C" w:rsidR="000D72E4" w:rsidRPr="000D72E4" w:rsidRDefault="00502D42" w:rsidP="000D72E4">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w:t>
      </w:r>
      <w:r w:rsidR="00614936">
        <w:rPr>
          <w:rFonts w:asciiTheme="majorHAnsi" w:eastAsiaTheme="minorEastAsia" w:hAnsiTheme="majorHAnsi" w:cs="Arial"/>
          <w:lang w:eastAsia="zh-CN"/>
        </w:rPr>
        <w:t xml:space="preserve">the remaining issue to support </w:t>
      </w:r>
      <w:r w:rsidR="00614936" w:rsidRPr="00614936">
        <w:rPr>
          <w:rFonts w:asciiTheme="majorHAnsi" w:eastAsiaTheme="minorEastAsia" w:hAnsiTheme="majorHAnsi" w:cs="Arial"/>
          <w:lang w:eastAsia="zh-CN"/>
        </w:rPr>
        <w:t>MBS reception in RAN sharing</w:t>
      </w:r>
      <w:r w:rsidR="001E302F">
        <w:rPr>
          <w:rFonts w:asciiTheme="majorHAnsi" w:eastAsiaTheme="minorEastAsia" w:hAnsiTheme="majorHAnsi" w:cs="Arial"/>
          <w:lang w:eastAsia="zh-CN"/>
        </w:rPr>
        <w:t>.</w:t>
      </w:r>
    </w:p>
    <w:p w14:paraId="7D3FE11E" w14:textId="7E726215"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9A039D0" w14:textId="58308518" w:rsidR="00DD6D04" w:rsidRPr="00DD6D04" w:rsidRDefault="00DD6D04" w:rsidP="00DD6D04">
      <w:pPr>
        <w:pStyle w:val="B1"/>
        <w:spacing w:after="60"/>
        <w:ind w:left="0" w:firstLine="0"/>
        <w:rPr>
          <w:rFonts w:asciiTheme="majorHAnsi" w:eastAsiaTheme="minorEastAsia" w:hAnsiTheme="majorHAnsi"/>
          <w:lang w:eastAsia="zh-CN"/>
        </w:rPr>
      </w:pPr>
      <w:r w:rsidRPr="00DD6D04">
        <w:rPr>
          <w:rFonts w:asciiTheme="majorHAnsi" w:eastAsiaTheme="minorEastAsia" w:hAnsiTheme="majorHAnsi"/>
          <w:lang w:eastAsia="zh-CN"/>
        </w:rPr>
        <w:t xml:space="preserve">In case of MOCN sharing, FFS </w:t>
      </w:r>
      <w:r w:rsidR="00D06F83">
        <w:rPr>
          <w:rFonts w:asciiTheme="majorHAnsi" w:eastAsiaTheme="minorEastAsia" w:hAnsiTheme="majorHAnsi"/>
          <w:lang w:eastAsia="zh-CN"/>
        </w:rPr>
        <w:t>on how many MBS session context procedure instances should be triggered in gNB-DU to establish the related MBS session contexts</w:t>
      </w:r>
      <w:r w:rsidRPr="00DD6D04">
        <w:rPr>
          <w:rFonts w:asciiTheme="majorHAnsi" w:eastAsiaTheme="minorEastAsia" w:hAnsiTheme="majorHAnsi"/>
          <w:lang w:eastAsia="zh-CN"/>
        </w:rPr>
        <w:t>:</w:t>
      </w:r>
    </w:p>
    <w:p w14:paraId="62D688FC" w14:textId="18631DB1"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1: the gNB-CU sends multiple F1AP: BROADCAST CONTEXT SETUP REQUEST messages with different TMGIs and same MBS RAN Sharing efficiency Information. </w:t>
      </w:r>
    </w:p>
    <w:p w14:paraId="5B521861" w14:textId="62E222EF" w:rsidR="00DD6D04" w:rsidRPr="00DD6D04" w:rsidRDefault="00DD6D04" w:rsidP="00DD6D04">
      <w:pPr>
        <w:pStyle w:val="B1"/>
        <w:spacing w:after="60"/>
        <w:rPr>
          <w:rFonts w:asciiTheme="majorHAnsi" w:eastAsiaTheme="minorEastAsia" w:hAnsiTheme="majorHAnsi"/>
          <w:color w:val="0070C0"/>
        </w:rPr>
      </w:pPr>
      <w:r w:rsidRPr="00DD6D04">
        <w:rPr>
          <w:rFonts w:asciiTheme="majorHAnsi" w:eastAsiaTheme="minorEastAsia" w:hAnsiTheme="majorHAnsi"/>
          <w:color w:val="0070C0"/>
        </w:rPr>
        <w:t>-</w:t>
      </w:r>
      <w:r>
        <w:rPr>
          <w:rFonts w:asciiTheme="majorHAnsi" w:eastAsiaTheme="minorEastAsia" w:hAnsiTheme="majorHAnsi"/>
          <w:color w:val="0070C0"/>
        </w:rPr>
        <w:tab/>
      </w:r>
      <w:r w:rsidRPr="00DD6D04">
        <w:rPr>
          <w:rFonts w:asciiTheme="majorHAnsi" w:eastAsiaTheme="minorEastAsia" w:hAnsiTheme="majorHAnsi"/>
          <w:color w:val="0070C0"/>
        </w:rPr>
        <w:t xml:space="preserve">Option 2: the gNB-CU sends in a single F1AP: BROADCAST CONTEXT SETUP/MODIFICATION REQUEST message includes a list of </w:t>
      </w:r>
      <w:proofErr w:type="gramStart"/>
      <w:r w:rsidRPr="00DD6D04">
        <w:rPr>
          <w:rFonts w:asciiTheme="majorHAnsi" w:eastAsiaTheme="minorEastAsia" w:hAnsiTheme="majorHAnsi"/>
          <w:color w:val="0070C0"/>
        </w:rPr>
        <w:t>TMGIs</w:t>
      </w:r>
      <w:proofErr w:type="gramEnd"/>
      <w:r w:rsidRPr="00DD6D04">
        <w:rPr>
          <w:rFonts w:asciiTheme="majorHAnsi" w:eastAsiaTheme="minorEastAsia" w:hAnsiTheme="majorHAnsi"/>
          <w:color w:val="0070C0"/>
        </w:rPr>
        <w:t xml:space="preserve"> and an MBS RAN Sharing efficiency Information</w:t>
      </w:r>
    </w:p>
    <w:p w14:paraId="4694A5B2" w14:textId="439E9AD7"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1,</w:t>
      </w:r>
      <w:r w:rsidRPr="00DD6D04">
        <w:rPr>
          <w:rFonts w:asciiTheme="majorHAnsi" w:eastAsiaTheme="minorEastAsia" w:hAnsiTheme="majorHAnsi"/>
          <w:lang w:eastAsia="zh-CN"/>
        </w:rPr>
        <w:t xml:space="preserve"> the shared DU receives multiple </w:t>
      </w:r>
      <w:r w:rsidR="00F16D18" w:rsidRPr="00DD6D04">
        <w:rPr>
          <w:rFonts w:asciiTheme="majorHAnsi" w:eastAsiaTheme="minorEastAsia" w:hAnsiTheme="majorHAnsi"/>
          <w:lang w:eastAsia="zh-CN"/>
        </w:rPr>
        <w:t>signalling</w:t>
      </w:r>
      <w:r w:rsidRPr="00DD6D04">
        <w:rPr>
          <w:rFonts w:asciiTheme="majorHAnsi" w:eastAsiaTheme="minorEastAsia" w:hAnsiTheme="majorHAnsi"/>
          <w:lang w:eastAsia="zh-CN"/>
        </w:rPr>
        <w:t xml:space="preserve"> over F1 from the shared CU (</w:t>
      </w:r>
      <w:r w:rsidR="00F16D18" w:rsidRPr="00DD6D04">
        <w:rPr>
          <w:rFonts w:asciiTheme="majorHAnsi" w:eastAsiaTheme="minorEastAsia" w:hAnsiTheme="majorHAnsi"/>
          <w:lang w:eastAsia="zh-CN"/>
        </w:rPr>
        <w:t>signalling</w:t>
      </w:r>
      <w:r w:rsidRPr="00DD6D04">
        <w:rPr>
          <w:rFonts w:asciiTheme="majorHAnsi" w:eastAsiaTheme="minorEastAsia" w:hAnsiTheme="majorHAnsi"/>
          <w:lang w:eastAsia="zh-CN"/>
        </w:rPr>
        <w:t xml:space="preserve"> per PLMN) and the shared DU coordinates the multiple pieces of information to be build the M</w:t>
      </w:r>
      <w:r w:rsidR="006D430D">
        <w:rPr>
          <w:rFonts w:asciiTheme="majorHAnsi" w:eastAsiaTheme="minorEastAsia" w:hAnsiTheme="majorHAnsi"/>
          <w:lang w:eastAsia="zh-CN"/>
        </w:rPr>
        <w:t>C</w:t>
      </w:r>
      <w:r w:rsidRPr="00DD6D04">
        <w:rPr>
          <w:rFonts w:asciiTheme="majorHAnsi" w:eastAsiaTheme="minorEastAsia" w:hAnsiTheme="majorHAnsi"/>
          <w:lang w:eastAsia="zh-CN"/>
        </w:rPr>
        <w:t xml:space="preserve">CH.  </w:t>
      </w:r>
    </w:p>
    <w:p w14:paraId="496FC6A5" w14:textId="4FA57F4C" w:rsidR="00DD6D04" w:rsidRPr="00DD6D04" w:rsidRDefault="00DD6D04" w:rsidP="00DD6D04">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For </w:t>
      </w:r>
      <w:r w:rsidRPr="00DD6D04">
        <w:rPr>
          <w:rFonts w:asciiTheme="majorHAnsi" w:eastAsiaTheme="minorEastAsia" w:hAnsiTheme="majorHAnsi"/>
          <w:lang w:eastAsia="zh-CN"/>
        </w:rPr>
        <w:t xml:space="preserve">option </w:t>
      </w:r>
      <w:r>
        <w:rPr>
          <w:rFonts w:asciiTheme="majorHAnsi" w:eastAsiaTheme="minorEastAsia" w:hAnsiTheme="majorHAnsi"/>
          <w:lang w:eastAsia="zh-CN"/>
        </w:rPr>
        <w:t>2</w:t>
      </w:r>
      <w:r w:rsidRPr="00DD6D04">
        <w:rPr>
          <w:rFonts w:asciiTheme="majorHAnsi" w:eastAsiaTheme="minorEastAsia" w:hAnsiTheme="majorHAnsi"/>
          <w:lang w:eastAsia="zh-CN"/>
        </w:rPr>
        <w:t>, the shared CU coordinates the information from different PLMNs to build the common signalling to be sent over F1 which is used by the shared DU to build the common MCCH.</w:t>
      </w:r>
    </w:p>
    <w:p w14:paraId="70F007A4" w14:textId="5841310D" w:rsidR="00EF62D6" w:rsidRDefault="00DD6D04" w:rsidP="00EF62D6">
      <w:pPr>
        <w:pStyle w:val="B1"/>
        <w:spacing w:after="60"/>
        <w:ind w:left="0" w:firstLine="0"/>
        <w:rPr>
          <w:rFonts w:eastAsiaTheme="minorEastAsia"/>
          <w:lang w:eastAsia="zh-CN"/>
        </w:rPr>
      </w:pPr>
      <w:r>
        <w:rPr>
          <w:rFonts w:eastAsiaTheme="minorEastAsia"/>
          <w:lang w:eastAsia="zh-CN"/>
        </w:rPr>
        <w:t>To be honest, both option 1 and option 2 can work well. We would prefer option 1 since it can also be applied to multiple cell-ID cases.</w:t>
      </w:r>
    </w:p>
    <w:p w14:paraId="5803A519" w14:textId="5BA7159C" w:rsidR="00DD6D04" w:rsidRDefault="00DD6D04" w:rsidP="00DD6D04">
      <w:pPr>
        <w:pStyle w:val="Proposal"/>
        <w:jc w:val="left"/>
        <w:rPr>
          <w:rFonts w:asciiTheme="majorHAnsi" w:eastAsiaTheme="minorEastAsia" w:hAnsiTheme="majorHAnsi"/>
        </w:rPr>
      </w:pPr>
      <w:r w:rsidRPr="00E432F6">
        <w:rPr>
          <w:rFonts w:asciiTheme="majorHAnsi" w:eastAsiaTheme="minorEastAsia" w:hAnsiTheme="majorHAnsi" w:hint="eastAsia"/>
        </w:rPr>
        <w:t>F</w:t>
      </w:r>
      <w:r w:rsidRPr="00E432F6">
        <w:rPr>
          <w:rFonts w:asciiTheme="majorHAnsi" w:eastAsiaTheme="minorEastAsia" w:hAnsiTheme="majorHAnsi"/>
        </w:rPr>
        <w:t>or MOCN sharing, the gNB-CU sends multiple F1AP: BROADCAST CONTEXT SETUP REQUEST messages with different TMGIs and the same associated session ID to the gNB-DU.</w:t>
      </w:r>
    </w:p>
    <w:p w14:paraId="415D3EAB" w14:textId="5D608027" w:rsidR="006D430D" w:rsidRPr="006D430D" w:rsidRDefault="006D430D" w:rsidP="006D430D">
      <w:pPr>
        <w:pStyle w:val="B1"/>
        <w:spacing w:after="60"/>
        <w:ind w:left="0" w:firstLine="0"/>
        <w:rPr>
          <w:rFonts w:asciiTheme="majorHAnsi" w:eastAsiaTheme="minorEastAsia" w:hAnsiTheme="majorHAnsi"/>
          <w:lang w:eastAsia="zh-CN"/>
        </w:rPr>
      </w:pPr>
      <w:r w:rsidRPr="006D430D">
        <w:rPr>
          <w:rFonts w:asciiTheme="majorHAnsi" w:eastAsiaTheme="minorEastAsia" w:hAnsiTheme="majorHAnsi"/>
          <w:lang w:eastAsia="zh-CN"/>
        </w:rPr>
        <w:t>Regarding PDCP aspects for RAN sharing with multiple Cell ID broadcast</w:t>
      </w:r>
      <w:r>
        <w:rPr>
          <w:rFonts w:asciiTheme="majorHAnsi" w:eastAsiaTheme="minorEastAsia" w:hAnsiTheme="majorHAnsi"/>
          <w:lang w:eastAsia="zh-CN"/>
        </w:rPr>
        <w:t>, a WA was agreed:</w:t>
      </w:r>
    </w:p>
    <w:p w14:paraId="140CBE64" w14:textId="36A7012C" w:rsidR="006D430D" w:rsidRDefault="006D430D" w:rsidP="006D430D">
      <w:pPr>
        <w:rPr>
          <w:rFonts w:ascii="Calibri" w:hAnsi="Calibri" w:cs="Calibri"/>
          <w:color w:val="0000FF"/>
          <w:sz w:val="18"/>
          <w:lang w:eastAsia="en-US"/>
        </w:rPr>
      </w:pPr>
      <w:r w:rsidRPr="002E3F34">
        <w:rPr>
          <w:rFonts w:ascii="Calibri" w:hAnsi="Calibri" w:cs="Calibri"/>
          <w:b/>
          <w:color w:val="008000"/>
          <w:sz w:val="18"/>
          <w:lang w:eastAsia="en-US"/>
        </w:rPr>
        <w:t xml:space="preserve">WA: In case of RAN sharing with multiple Cell ID broadcast, the entity controlling the logical DUs decides which MRB-PDCP-ConfigBroadcast to provide on MCCH. </w:t>
      </w:r>
      <w:r w:rsidRPr="002E3F34">
        <w:rPr>
          <w:rFonts w:ascii="Calibri" w:hAnsi="Calibri" w:cs="Calibri"/>
          <w:color w:val="0000FF"/>
          <w:sz w:val="18"/>
          <w:lang w:eastAsia="en-US"/>
        </w:rPr>
        <w:t>Details are FFS.</w:t>
      </w:r>
    </w:p>
    <w:p w14:paraId="15706DE0" w14:textId="42284BB6" w:rsidR="001170E2" w:rsidRPr="007E18AA" w:rsidRDefault="001170E2" w:rsidP="007E18AA">
      <w:pPr>
        <w:pStyle w:val="B1"/>
        <w:spacing w:after="60"/>
        <w:ind w:left="0" w:firstLine="0"/>
        <w:rPr>
          <w:rFonts w:asciiTheme="majorHAnsi" w:eastAsiaTheme="minorEastAsia" w:hAnsiTheme="majorHAnsi"/>
          <w:lang w:eastAsia="zh-CN"/>
        </w:rPr>
      </w:pPr>
      <w:r w:rsidRPr="007E18AA">
        <w:rPr>
          <w:rFonts w:asciiTheme="majorHAnsi" w:eastAsiaTheme="minorEastAsia" w:hAnsiTheme="majorHAnsi"/>
          <w:lang w:eastAsia="zh-CN"/>
        </w:rPr>
        <w:t>There were two solutions have been discussed:</w:t>
      </w:r>
    </w:p>
    <w:p w14:paraId="678C9CD4" w14:textId="1203350D" w:rsidR="001170E2" w:rsidRPr="007E18AA" w:rsidRDefault="007E18AA" w:rsidP="007E18AA">
      <w:pPr>
        <w:pStyle w:val="B1"/>
        <w:rPr>
          <w:rFonts w:ascii="Cambria" w:hAnsi="Cambria"/>
        </w:rPr>
      </w:pPr>
      <w:r w:rsidRPr="007E18AA">
        <w:rPr>
          <w:rFonts w:ascii="Cambria" w:hAnsi="Cambria"/>
        </w:rPr>
        <w:t>-</w:t>
      </w:r>
      <w:r>
        <w:rPr>
          <w:rFonts w:ascii="Cambria" w:hAnsi="Cambria"/>
        </w:rPr>
        <w:tab/>
      </w:r>
      <w:r w:rsidR="001170E2" w:rsidRPr="007E18AA">
        <w:rPr>
          <w:rFonts w:ascii="Cambria" w:hAnsi="Cambria"/>
        </w:rPr>
        <w:t>Option 1: OAM configure the MRB-PDCP-ConfigBroadcast of each MRB to CU or DU.</w:t>
      </w:r>
    </w:p>
    <w:p w14:paraId="186955DF" w14:textId="57BBB74B" w:rsidR="001170E2" w:rsidRPr="007E18AA" w:rsidRDefault="007E18AA" w:rsidP="007E18AA">
      <w:pPr>
        <w:pStyle w:val="B1"/>
        <w:rPr>
          <w:rFonts w:ascii="Cambria" w:hAnsi="Cambria"/>
        </w:rPr>
      </w:pPr>
      <w:r>
        <w:rPr>
          <w:rFonts w:ascii="Cambria" w:hAnsi="Cambria"/>
        </w:rPr>
        <w:t>-</w:t>
      </w:r>
      <w:r>
        <w:rPr>
          <w:rFonts w:ascii="Cambria" w:hAnsi="Cambria"/>
        </w:rPr>
        <w:tab/>
      </w:r>
      <w:r w:rsidR="001170E2" w:rsidRPr="007E18AA">
        <w:rPr>
          <w:rFonts w:ascii="Cambria" w:hAnsi="Cambria"/>
        </w:rPr>
        <w:t>Option 2: DU applied the MRB-PDCP-ConfigBroadcast of the first CU or the second CU. FFS whether DU needs to provide the used MRB-PDCP-ConfigBroadcast to CU.</w:t>
      </w:r>
    </w:p>
    <w:p w14:paraId="359EC3E3" w14:textId="0CDA4EA6" w:rsidR="00966089" w:rsidRDefault="00B54475" w:rsidP="00966089">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 xml:space="preserve">As specified in TS 38.331, the PDCP configuration of </w:t>
      </w:r>
      <w:r w:rsidR="006D430D">
        <w:rPr>
          <w:rFonts w:asciiTheme="majorHAnsi" w:eastAsiaTheme="minorEastAsia" w:hAnsiTheme="majorHAnsi"/>
          <w:lang w:eastAsia="zh-CN"/>
        </w:rPr>
        <w:t>a</w:t>
      </w:r>
      <w:r>
        <w:rPr>
          <w:rFonts w:asciiTheme="majorHAnsi" w:eastAsiaTheme="minorEastAsia" w:hAnsiTheme="majorHAnsi"/>
          <w:lang w:eastAsia="zh-CN"/>
        </w:rPr>
        <w:t xml:space="preserve"> broadcast MRB </w:t>
      </w:r>
      <w:proofErr w:type="gramStart"/>
      <w:r>
        <w:rPr>
          <w:rFonts w:asciiTheme="majorHAnsi" w:eastAsiaTheme="minorEastAsia" w:hAnsiTheme="majorHAnsi"/>
          <w:lang w:eastAsia="zh-CN"/>
        </w:rPr>
        <w:t>includes</w:t>
      </w:r>
      <w:proofErr w:type="gramEnd"/>
    </w:p>
    <w:p w14:paraId="4733EE92" w14:textId="441A0FEA" w:rsidR="00B54475" w:rsidRDefault="00B54475" w:rsidP="00966089">
      <w:pPr>
        <w:pStyle w:val="B1"/>
        <w:spacing w:after="60"/>
        <w:ind w:left="0" w:firstLine="0"/>
        <w:rPr>
          <w:rFonts w:asciiTheme="majorHAnsi" w:eastAsiaTheme="minorEastAsia" w:hAnsiTheme="majorHAnsi"/>
          <w:lang w:eastAsia="zh-CN"/>
        </w:rPr>
      </w:pPr>
    </w:p>
    <w:p w14:paraId="006D08D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MRB-PDCP-ConfigBroadcast-r17 ::=     </w:t>
      </w:r>
      <w:r w:rsidRPr="00B54475">
        <w:rPr>
          <w:rFonts w:ascii="Courier New" w:hAnsi="Courier New"/>
          <w:noProof/>
          <w:color w:val="993366"/>
          <w:sz w:val="16"/>
        </w:rPr>
        <w:t>SEQUENCE</w:t>
      </w:r>
      <w:r w:rsidRPr="00B54475">
        <w:rPr>
          <w:rFonts w:ascii="Courier New" w:hAnsi="Courier New"/>
          <w:noProof/>
          <w:sz w:val="16"/>
        </w:rPr>
        <w:t xml:space="preserve"> {</w:t>
      </w:r>
    </w:p>
    <w:p w14:paraId="71F937A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pdcp-SN-SizeDL-r17                   </w:t>
      </w:r>
      <w:r w:rsidRPr="00B54475">
        <w:rPr>
          <w:rFonts w:ascii="Courier New" w:hAnsi="Courier New"/>
          <w:noProof/>
          <w:color w:val="993366"/>
          <w:sz w:val="16"/>
        </w:rPr>
        <w:t>ENUMERATED</w:t>
      </w:r>
      <w:r w:rsidRPr="00B54475">
        <w:rPr>
          <w:rFonts w:ascii="Courier New" w:hAnsi="Courier New"/>
          <w:noProof/>
          <w:sz w:val="16"/>
        </w:rPr>
        <w:t xml:space="preserve"> {</w:t>
      </w:r>
      <w:r w:rsidRPr="00B54475">
        <w:rPr>
          <w:rFonts w:ascii="Courier New" w:hAnsi="Courier New"/>
          <w:noProof/>
          <w:sz w:val="16"/>
          <w:highlight w:val="yellow"/>
        </w:rPr>
        <w:t>len12bits</w:t>
      </w:r>
      <w:r w:rsidRPr="00B54475">
        <w:rPr>
          <w:rFonts w:ascii="Courier New" w:hAnsi="Courier New"/>
          <w:noProof/>
          <w:sz w:val="16"/>
        </w:rPr>
        <w:t xml:space="preserve">}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00DA2007"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headerCompression-r17                </w:t>
      </w:r>
      <w:r w:rsidRPr="00B54475">
        <w:rPr>
          <w:rFonts w:ascii="Courier New" w:hAnsi="Courier New"/>
          <w:noProof/>
          <w:color w:val="993366"/>
          <w:sz w:val="16"/>
        </w:rPr>
        <w:t>CHOICE</w:t>
      </w:r>
      <w:r w:rsidRPr="00B54475">
        <w:rPr>
          <w:rFonts w:ascii="Courier New" w:hAnsi="Courier New"/>
          <w:noProof/>
          <w:sz w:val="16"/>
        </w:rPr>
        <w:t xml:space="preserve"> {</w:t>
      </w:r>
    </w:p>
    <w:p w14:paraId="4B0B5754"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notUsed                              </w:t>
      </w:r>
      <w:r w:rsidRPr="00B54475">
        <w:rPr>
          <w:rFonts w:ascii="Courier New" w:hAnsi="Courier New"/>
          <w:noProof/>
          <w:color w:val="993366"/>
          <w:sz w:val="16"/>
        </w:rPr>
        <w:t>NULL</w:t>
      </w:r>
      <w:r w:rsidRPr="00B54475">
        <w:rPr>
          <w:rFonts w:ascii="Courier New" w:hAnsi="Courier New"/>
          <w:noProof/>
          <w:sz w:val="16"/>
        </w:rPr>
        <w:t>,</w:t>
      </w:r>
    </w:p>
    <w:p w14:paraId="0D22007F"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rohc                                 </w:t>
      </w:r>
      <w:r w:rsidRPr="00B54475">
        <w:rPr>
          <w:rFonts w:ascii="Courier New" w:hAnsi="Courier New"/>
          <w:noProof/>
          <w:color w:val="993366"/>
          <w:sz w:val="16"/>
        </w:rPr>
        <w:t>SEQUENCE</w:t>
      </w:r>
      <w:r w:rsidRPr="00B54475">
        <w:rPr>
          <w:rFonts w:ascii="Courier New" w:hAnsi="Courier New"/>
          <w:noProof/>
          <w:sz w:val="16"/>
        </w:rPr>
        <w:t xml:space="preserve"> {</w:t>
      </w:r>
    </w:p>
    <w:p w14:paraId="6C79B1F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maxCID-r17                           </w:t>
      </w:r>
      <w:r w:rsidRPr="00B54475">
        <w:rPr>
          <w:rFonts w:ascii="Courier New" w:hAnsi="Courier New"/>
          <w:noProof/>
          <w:color w:val="993366"/>
          <w:sz w:val="16"/>
        </w:rPr>
        <w:t>INTEGER</w:t>
      </w:r>
      <w:r w:rsidRPr="00B54475">
        <w:rPr>
          <w:rFonts w:ascii="Courier New" w:hAnsi="Courier New"/>
          <w:noProof/>
          <w:sz w:val="16"/>
        </w:rPr>
        <w:t xml:space="preserve"> (1..16)               </w:t>
      </w:r>
      <w:r w:rsidRPr="00B54475">
        <w:rPr>
          <w:rFonts w:ascii="Courier New" w:hAnsi="Courier New"/>
          <w:noProof/>
          <w:sz w:val="16"/>
          <w:highlight w:val="yellow"/>
        </w:rPr>
        <w:t>DEFAULT 15</w:t>
      </w:r>
      <w:r w:rsidRPr="00B54475">
        <w:rPr>
          <w:rFonts w:ascii="Courier New" w:hAnsi="Courier New"/>
          <w:noProof/>
          <w:sz w:val="16"/>
        </w:rPr>
        <w:t>,</w:t>
      </w:r>
    </w:p>
    <w:p w14:paraId="13AC7865"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profiles-r17                         </w:t>
      </w:r>
      <w:r w:rsidRPr="00B54475">
        <w:rPr>
          <w:rFonts w:ascii="Courier New" w:hAnsi="Courier New"/>
          <w:noProof/>
          <w:color w:val="993366"/>
          <w:sz w:val="16"/>
        </w:rPr>
        <w:t>SEQUENCE</w:t>
      </w:r>
      <w:r w:rsidRPr="00B54475">
        <w:rPr>
          <w:rFonts w:ascii="Courier New" w:hAnsi="Courier New"/>
          <w:noProof/>
          <w:sz w:val="16"/>
        </w:rPr>
        <w:t xml:space="preserve"> {</w:t>
      </w:r>
    </w:p>
    <w:p w14:paraId="5A936852"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profile0x0000-r17                    </w:t>
      </w:r>
      <w:r w:rsidRPr="00B54475">
        <w:rPr>
          <w:rFonts w:ascii="Courier New" w:hAnsi="Courier New"/>
          <w:noProof/>
          <w:color w:val="993366"/>
          <w:sz w:val="16"/>
        </w:rPr>
        <w:t>BOOLEAN</w:t>
      </w:r>
      <w:r w:rsidRPr="00B54475">
        <w:rPr>
          <w:rFonts w:ascii="Courier New" w:hAnsi="Courier New"/>
          <w:noProof/>
          <w:sz w:val="16"/>
        </w:rPr>
        <w:t>,</w:t>
      </w:r>
    </w:p>
    <w:p w14:paraId="64160361"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profile0x0001-r17                    </w:t>
      </w:r>
      <w:r w:rsidRPr="00B54475">
        <w:rPr>
          <w:rFonts w:ascii="Courier New" w:hAnsi="Courier New"/>
          <w:noProof/>
          <w:color w:val="993366"/>
          <w:sz w:val="16"/>
        </w:rPr>
        <w:t>BOOLEAN</w:t>
      </w:r>
      <w:r w:rsidRPr="00B54475">
        <w:rPr>
          <w:rFonts w:ascii="Courier New" w:hAnsi="Courier New"/>
          <w:noProof/>
          <w:sz w:val="16"/>
        </w:rPr>
        <w:t>,</w:t>
      </w:r>
    </w:p>
    <w:p w14:paraId="3B8C882A"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profile0x0002-r17                    </w:t>
      </w:r>
      <w:r w:rsidRPr="00B54475">
        <w:rPr>
          <w:rFonts w:ascii="Courier New" w:hAnsi="Courier New"/>
          <w:noProof/>
          <w:color w:val="993366"/>
          <w:sz w:val="16"/>
        </w:rPr>
        <w:t>BOOLEAN</w:t>
      </w:r>
    </w:p>
    <w:p w14:paraId="19508AA0"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1E2EE0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39D2241D"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 xml:space="preserve">    },</w:t>
      </w:r>
    </w:p>
    <w:p w14:paraId="4DC02E66"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B54475">
        <w:rPr>
          <w:rFonts w:ascii="Courier New" w:hAnsi="Courier New"/>
          <w:noProof/>
          <w:sz w:val="16"/>
        </w:rPr>
        <w:t xml:space="preserve">    t-Reordering-r17                     </w:t>
      </w:r>
      <w:r w:rsidRPr="00B54475">
        <w:rPr>
          <w:rFonts w:ascii="Courier New" w:hAnsi="Courier New"/>
          <w:noProof/>
          <w:color w:val="993366"/>
          <w:sz w:val="16"/>
        </w:rPr>
        <w:t>ENUMERATED</w:t>
      </w:r>
      <w:r w:rsidRPr="00B54475">
        <w:rPr>
          <w:rFonts w:ascii="Courier New" w:hAnsi="Courier New"/>
          <w:noProof/>
          <w:sz w:val="16"/>
        </w:rPr>
        <w:t xml:space="preserve"> {ms1, ms10, ms40, ms160, ms500, ms1000, ms1250, ms2750}    </w:t>
      </w:r>
      <w:r w:rsidRPr="00B54475">
        <w:rPr>
          <w:rFonts w:ascii="Courier New" w:hAnsi="Courier New"/>
          <w:noProof/>
          <w:color w:val="993366"/>
          <w:sz w:val="16"/>
        </w:rPr>
        <w:t>OPTIONAL</w:t>
      </w:r>
      <w:r w:rsidRPr="00B54475">
        <w:rPr>
          <w:rFonts w:ascii="Courier New" w:hAnsi="Courier New"/>
          <w:noProof/>
          <w:sz w:val="16"/>
        </w:rPr>
        <w:t xml:space="preserve"> </w:t>
      </w:r>
      <w:r w:rsidRPr="00B54475">
        <w:rPr>
          <w:rFonts w:ascii="Courier New" w:hAnsi="Courier New"/>
          <w:noProof/>
          <w:color w:val="808080"/>
          <w:sz w:val="16"/>
        </w:rPr>
        <w:t>-- Need S</w:t>
      </w:r>
    </w:p>
    <w:p w14:paraId="60C0CBEE" w14:textId="77777777" w:rsidR="00B54475" w:rsidRPr="00B54475" w:rsidRDefault="00B54475" w:rsidP="00B54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54475">
        <w:rPr>
          <w:rFonts w:ascii="Courier New" w:hAnsi="Courier New"/>
          <w:noProof/>
          <w:sz w:val="16"/>
        </w:rPr>
        <w:t>}</w:t>
      </w:r>
    </w:p>
    <w:p w14:paraId="36E1663D" w14:textId="320608DC" w:rsidR="00B54475" w:rsidRDefault="00B54475" w:rsidP="00966089">
      <w:pPr>
        <w:pStyle w:val="B1"/>
        <w:spacing w:after="60"/>
        <w:ind w:left="0" w:firstLine="0"/>
        <w:rPr>
          <w:rFonts w:asciiTheme="majorHAnsi" w:eastAsiaTheme="minorEastAsia" w:hAnsiTheme="majorHAnsi"/>
          <w:lang w:eastAsia="zh-CN"/>
        </w:rPr>
      </w:pPr>
    </w:p>
    <w:p w14:paraId="14C83ED2" w14:textId="77777777" w:rsidR="00E73DF2" w:rsidRPr="00E73DF2" w:rsidRDefault="00E73DF2" w:rsidP="00E73DF2">
      <w:pPr>
        <w:keepNext/>
        <w:keepLines/>
        <w:spacing w:after="0"/>
        <w:rPr>
          <w:rFonts w:ascii="Arial" w:hAnsi="Arial"/>
          <w:b/>
          <w:bCs/>
          <w:i/>
          <w:iCs/>
          <w:sz w:val="18"/>
        </w:rPr>
      </w:pPr>
      <w:r w:rsidRPr="00E73DF2">
        <w:rPr>
          <w:rFonts w:ascii="Arial" w:hAnsi="Arial"/>
          <w:b/>
          <w:bCs/>
          <w:i/>
          <w:iCs/>
          <w:sz w:val="18"/>
        </w:rPr>
        <w:lastRenderedPageBreak/>
        <w:t>t-</w:t>
      </w:r>
      <w:r w:rsidRPr="00E73DF2">
        <w:rPr>
          <w:rFonts w:ascii="Arial" w:hAnsi="Arial"/>
          <w:b/>
          <w:bCs/>
          <w:i/>
          <w:sz w:val="18"/>
        </w:rPr>
        <w:t>Reordering</w:t>
      </w:r>
    </w:p>
    <w:p w14:paraId="2C8EB21F" w14:textId="61AC494F" w:rsidR="00B54475" w:rsidRDefault="00E73DF2" w:rsidP="00E73DF2">
      <w:pPr>
        <w:pStyle w:val="B1"/>
        <w:spacing w:after="60"/>
        <w:ind w:left="0" w:firstLine="0"/>
        <w:rPr>
          <w:lang w:eastAsia="ja-JP"/>
        </w:rPr>
      </w:pPr>
      <w:r w:rsidRPr="00E73DF2">
        <w:rPr>
          <w:lang w:eastAsia="ja-JP"/>
        </w:rPr>
        <w:t xml:space="preserve">Value in ms of t-Reordering specified in TS 38.323 [5]. Value ms1 corresponds to 1 ms, value ms10 corresponds to 10 ms, and so on.  </w:t>
      </w:r>
      <w:r w:rsidRPr="00E73DF2">
        <w:rPr>
          <w:highlight w:val="yellow"/>
          <w:lang w:eastAsia="ja-JP"/>
        </w:rPr>
        <w:t>When the field is absent the UE applies the value as specified in 9.1.1.7.</w:t>
      </w:r>
    </w:p>
    <w:p w14:paraId="29854307" w14:textId="4F178136" w:rsidR="00E73DF2" w:rsidRDefault="00E73DF2" w:rsidP="00E73DF2">
      <w:pPr>
        <w:pStyle w:val="B1"/>
        <w:spacing w:after="60"/>
        <w:ind w:left="0" w:firstLine="0"/>
        <w:rPr>
          <w:rFonts w:eastAsia="MS Mincho"/>
          <w:lang w:eastAsia="ja-JP"/>
        </w:rPr>
      </w:pPr>
    </w:p>
    <w:p w14:paraId="53C4CFCE" w14:textId="1F4FF9B2" w:rsidR="00E73DF2" w:rsidRDefault="00E73DF2" w:rsidP="00E73DF2">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As observed from TS 38.331, the parameters in PDCP configuration for broadcast MRB are very limited. For example, the PDCP SN is fixed as 12 bits for all MRB</w:t>
      </w:r>
      <w:r w:rsidR="00B35A93">
        <w:rPr>
          <w:rFonts w:asciiTheme="majorHAnsi" w:eastAsiaTheme="minorEastAsia" w:hAnsiTheme="majorHAnsi"/>
          <w:lang w:eastAsia="zh-CN"/>
        </w:rPr>
        <w:t>s</w:t>
      </w:r>
      <w:r>
        <w:rPr>
          <w:rFonts w:asciiTheme="majorHAnsi" w:eastAsiaTheme="minorEastAsia" w:hAnsiTheme="majorHAnsi"/>
          <w:lang w:eastAsia="zh-CN"/>
        </w:rPr>
        <w:t xml:space="preserve">, </w:t>
      </w:r>
      <w:r w:rsidR="00B35A93">
        <w:rPr>
          <w:rFonts w:asciiTheme="majorHAnsi" w:eastAsiaTheme="minorEastAsia" w:hAnsiTheme="majorHAnsi"/>
          <w:lang w:eastAsia="zh-CN"/>
        </w:rPr>
        <w:t xml:space="preserve">and </w:t>
      </w:r>
      <w:r>
        <w:rPr>
          <w:rFonts w:asciiTheme="majorHAnsi" w:eastAsiaTheme="minorEastAsia" w:hAnsiTheme="majorHAnsi"/>
          <w:lang w:eastAsia="zh-CN"/>
        </w:rPr>
        <w:t>the default value of t-Reordering can be used. The only thing is ROHC profiles may be differently used for different gNB-CU</w:t>
      </w:r>
      <w:r w:rsidR="00B35A93">
        <w:rPr>
          <w:rFonts w:asciiTheme="majorHAnsi" w:eastAsiaTheme="minorEastAsia" w:hAnsiTheme="majorHAnsi"/>
          <w:lang w:eastAsia="zh-CN"/>
        </w:rPr>
        <w:t>s</w:t>
      </w:r>
      <w:r>
        <w:rPr>
          <w:rFonts w:asciiTheme="majorHAnsi" w:eastAsiaTheme="minorEastAsia" w:hAnsiTheme="majorHAnsi"/>
          <w:lang w:eastAsia="zh-CN"/>
        </w:rPr>
        <w:t>. Since there is no UL feedback, only three ROCH profile are specified for broadcast MRB. In this case, it would be better to gNB-CUs configures ROCH profiles by pre-configurations. Besides that, the QoS flow to MRB mapping are also needs to be pre-configured anyway.</w:t>
      </w:r>
    </w:p>
    <w:p w14:paraId="48BA1FE9" w14:textId="72672111" w:rsidR="00E73DF2" w:rsidRDefault="00E73DF2" w:rsidP="00E73DF2">
      <w:pPr>
        <w:pStyle w:val="Proposal"/>
        <w:jc w:val="left"/>
        <w:rPr>
          <w:rFonts w:asciiTheme="majorHAnsi" w:eastAsiaTheme="minorEastAsia" w:hAnsiTheme="majorHAnsi"/>
        </w:rPr>
      </w:pPr>
      <w:r>
        <w:rPr>
          <w:rFonts w:asciiTheme="majorHAnsi" w:eastAsiaTheme="minorEastAsia" w:hAnsiTheme="majorHAnsi"/>
        </w:rPr>
        <w:t>The gNB-CUs appl</w:t>
      </w:r>
      <w:r w:rsidR="00BA2BA8">
        <w:rPr>
          <w:rFonts w:asciiTheme="majorHAnsi" w:eastAsiaTheme="minorEastAsia" w:hAnsiTheme="majorHAnsi"/>
        </w:rPr>
        <w:t>y</w:t>
      </w:r>
      <w:r>
        <w:rPr>
          <w:rFonts w:asciiTheme="majorHAnsi" w:eastAsiaTheme="minorEastAsia" w:hAnsiTheme="majorHAnsi"/>
        </w:rPr>
        <w:t xml:space="preserve"> the same PDCP configuration as well as MBS QoS flow to MRB mapping by using default value or by pre-configuration i</w:t>
      </w:r>
      <w:r w:rsidRPr="00966089">
        <w:rPr>
          <w:rFonts w:asciiTheme="majorHAnsi" w:eastAsiaTheme="minorEastAsia" w:hAnsiTheme="majorHAnsi"/>
        </w:rPr>
        <w:t>n case of multiple cell-ID sharing case</w:t>
      </w:r>
      <w:r>
        <w:rPr>
          <w:rFonts w:asciiTheme="majorHAnsi" w:eastAsiaTheme="minorEastAsia" w:hAnsiTheme="majorHAnsi"/>
        </w:rPr>
        <w:t xml:space="preserve">. </w:t>
      </w:r>
    </w:p>
    <w:p w14:paraId="576EBF2C" w14:textId="77777777" w:rsidR="00B44D12" w:rsidRDefault="00B44D12" w:rsidP="009B5DFC">
      <w:pPr>
        <w:pStyle w:val="B1"/>
        <w:spacing w:after="60"/>
        <w:ind w:left="0" w:firstLine="0"/>
        <w:rPr>
          <w:rFonts w:asciiTheme="majorHAnsi" w:eastAsiaTheme="minorEastAsia" w:hAnsiTheme="majorHAnsi"/>
          <w:lang w:eastAsia="zh-CN"/>
        </w:rPr>
      </w:pPr>
    </w:p>
    <w:p w14:paraId="12F46A25" w14:textId="7F94125F" w:rsidR="00745F37" w:rsidRDefault="00F22A67" w:rsidP="009B5DFC">
      <w:pPr>
        <w:pStyle w:val="B1"/>
        <w:spacing w:after="60"/>
        <w:ind w:left="0" w:firstLine="0"/>
        <w:rPr>
          <w:rFonts w:asciiTheme="majorHAnsi" w:eastAsiaTheme="minorEastAsia" w:hAnsiTheme="majorHAnsi"/>
          <w:lang w:eastAsia="zh-CN"/>
        </w:rPr>
      </w:pPr>
      <w:r>
        <w:rPr>
          <w:rFonts w:asciiTheme="majorHAnsi" w:eastAsiaTheme="minorEastAsia" w:hAnsiTheme="majorHAnsi"/>
          <w:lang w:eastAsia="zh-CN"/>
        </w:rPr>
        <w:t>There is also an FFS on how many F1-U tunnels should be established for multiple cell-ID broadcast case.</w:t>
      </w:r>
    </w:p>
    <w:p w14:paraId="20BC6E55" w14:textId="77777777" w:rsidR="00BF4EF0" w:rsidRPr="004B1560" w:rsidRDefault="00BF4EF0" w:rsidP="00BF4EF0">
      <w:pPr>
        <w:rPr>
          <w:rFonts w:ascii="Calibri" w:hAnsi="Calibri" w:cs="Calibri"/>
          <w:b/>
          <w:color w:val="0000FF"/>
          <w:sz w:val="18"/>
        </w:rPr>
      </w:pPr>
      <w:r w:rsidRPr="004B1560">
        <w:rPr>
          <w:rFonts w:ascii="Calibri" w:hAnsi="Calibri" w:cs="Calibri"/>
          <w:b/>
          <w:color w:val="0000FF"/>
          <w:sz w:val="18"/>
        </w:rPr>
        <w:t>FFS on how many F1-U tunnels should be established for multiple cell-ID broadcast cases.</w:t>
      </w:r>
    </w:p>
    <w:p w14:paraId="0873C53F" w14:textId="02CD2D45" w:rsidR="00AE0332" w:rsidRDefault="00F22A67" w:rsidP="00AE0332">
      <w:pPr>
        <w:rPr>
          <w:rFonts w:asciiTheme="majorHAnsi" w:eastAsiaTheme="minorEastAsia" w:hAnsiTheme="majorHAnsi"/>
          <w:lang w:eastAsia="zh-CN"/>
        </w:rPr>
      </w:pPr>
      <w:r>
        <w:rPr>
          <w:rFonts w:asciiTheme="majorHAnsi" w:eastAsiaTheme="minorEastAsia" w:hAnsiTheme="majorHAnsi"/>
          <w:lang w:eastAsia="zh-CN"/>
        </w:rPr>
        <w:t xml:space="preserve">From our view, single F1-U tunnel is sufficient </w:t>
      </w:r>
      <w:r w:rsidR="004111AB">
        <w:rPr>
          <w:rFonts w:asciiTheme="majorHAnsi" w:eastAsiaTheme="minorEastAsia" w:hAnsiTheme="majorHAnsi"/>
          <w:lang w:eastAsia="zh-CN"/>
        </w:rPr>
        <w:t xml:space="preserve">since </w:t>
      </w:r>
      <w:r w:rsidR="0045452D">
        <w:rPr>
          <w:rFonts w:asciiTheme="majorHAnsi" w:eastAsiaTheme="minorEastAsia" w:hAnsiTheme="majorHAnsi"/>
          <w:lang w:eastAsia="zh-CN"/>
        </w:rPr>
        <w:t>anyway the same packets are sent to UE in the air interface. Similar with NG</w:t>
      </w:r>
      <w:r w:rsidR="00954461">
        <w:rPr>
          <w:rFonts w:asciiTheme="majorHAnsi" w:eastAsiaTheme="minorEastAsia" w:hAnsiTheme="majorHAnsi"/>
          <w:lang w:eastAsia="zh-CN"/>
        </w:rPr>
        <w:t xml:space="preserve"> interface, </w:t>
      </w:r>
      <w:r w:rsidR="00AE0332">
        <w:rPr>
          <w:rFonts w:asciiTheme="majorHAnsi" w:eastAsiaTheme="minorEastAsia" w:hAnsiTheme="majorHAnsi"/>
          <w:lang w:eastAsia="zh-CN"/>
        </w:rPr>
        <w:t xml:space="preserve">it is proposed to include an indication that the gNB-DU has decided to </w:t>
      </w:r>
      <w:r w:rsidR="00490824">
        <w:rPr>
          <w:rFonts w:asciiTheme="majorHAnsi" w:eastAsiaTheme="minorEastAsia" w:hAnsiTheme="majorHAnsi"/>
          <w:lang w:eastAsia="zh-CN"/>
        </w:rPr>
        <w:t>not establish F1-U transport resource of an MRB to gNB-CU.</w:t>
      </w:r>
    </w:p>
    <w:p w14:paraId="00C78C14" w14:textId="261E6BDE" w:rsidR="00490824" w:rsidRDefault="00C624BE" w:rsidP="00490824">
      <w:pPr>
        <w:pStyle w:val="Proposal"/>
        <w:jc w:val="left"/>
        <w:rPr>
          <w:rFonts w:asciiTheme="majorHAnsi" w:eastAsiaTheme="minorEastAsia" w:hAnsiTheme="majorHAnsi"/>
        </w:rPr>
      </w:pPr>
      <w:r>
        <w:rPr>
          <w:rFonts w:asciiTheme="majorHAnsi" w:eastAsiaTheme="minorEastAsia" w:hAnsiTheme="majorHAnsi"/>
        </w:rPr>
        <w:t xml:space="preserve">Single F1-U tunnel for </w:t>
      </w:r>
      <w:proofErr w:type="gramStart"/>
      <w:r>
        <w:rPr>
          <w:rFonts w:asciiTheme="majorHAnsi" w:eastAsiaTheme="minorEastAsia" w:hAnsiTheme="majorHAnsi"/>
        </w:rPr>
        <w:t>an</w:t>
      </w:r>
      <w:proofErr w:type="gramEnd"/>
      <w:r>
        <w:rPr>
          <w:rFonts w:asciiTheme="majorHAnsi" w:eastAsiaTheme="minorEastAsia" w:hAnsiTheme="majorHAnsi"/>
        </w:rPr>
        <w:t xml:space="preserve"> broadcast MRB is established for multiple cell-ID case</w:t>
      </w:r>
      <w:r w:rsidR="00490824">
        <w:rPr>
          <w:rFonts w:asciiTheme="majorHAnsi" w:eastAsiaTheme="minorEastAsia" w:hAnsiTheme="majorHAnsi"/>
        </w:rPr>
        <w:t xml:space="preserve">. </w:t>
      </w:r>
    </w:p>
    <w:p w14:paraId="09D9A5BC" w14:textId="3C1B1AF5" w:rsidR="00C624BE" w:rsidRDefault="00C624BE" w:rsidP="00490824">
      <w:pPr>
        <w:pStyle w:val="Proposal"/>
        <w:jc w:val="left"/>
        <w:rPr>
          <w:rFonts w:asciiTheme="majorHAnsi" w:eastAsiaTheme="minorEastAsia" w:hAnsiTheme="majorHAnsi"/>
        </w:rPr>
      </w:pPr>
      <w:r>
        <w:rPr>
          <w:rFonts w:asciiTheme="majorHAnsi" w:eastAsiaTheme="minorEastAsia" w:hAnsiTheme="majorHAnsi"/>
        </w:rPr>
        <w:t>The gNB-DU sends an indication that the gNB-DU has decided to not establish F1-U transport resource of an MRB to gNB-CU</w:t>
      </w:r>
      <w:r w:rsidR="001E302F">
        <w:rPr>
          <w:rFonts w:asciiTheme="majorHAnsi" w:eastAsiaTheme="minorEastAsia"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3B3B40F" w14:textId="06EF70D0" w:rsidR="00AE7303" w:rsidRDefault="00CA30DD" w:rsidP="000D72E4">
      <w:pPr>
        <w:pStyle w:val="B1"/>
        <w:spacing w:after="120"/>
        <w:ind w:left="0" w:firstLine="0"/>
        <w:rPr>
          <w:rFonts w:asciiTheme="majorHAnsi" w:eastAsiaTheme="minorEastAsia" w:hAnsiTheme="majorHAnsi" w:cs="Arial"/>
          <w:lang w:eastAsia="zh-CN"/>
        </w:rPr>
      </w:pPr>
      <w:r>
        <w:rPr>
          <w:rFonts w:asciiTheme="majorHAnsi" w:eastAsiaTheme="minorEastAsia" w:hAnsiTheme="majorHAnsi" w:cs="Arial"/>
          <w:lang w:eastAsia="zh-CN"/>
        </w:rPr>
        <w:t xml:space="preserve">This contribution discusses the remaining issue to support </w:t>
      </w:r>
      <w:r w:rsidRPr="00614936">
        <w:rPr>
          <w:rFonts w:asciiTheme="majorHAnsi" w:eastAsiaTheme="minorEastAsia" w:hAnsiTheme="majorHAnsi" w:cs="Arial"/>
          <w:lang w:eastAsia="zh-CN"/>
        </w:rPr>
        <w:t>MBS reception in RAN sharing</w:t>
      </w:r>
      <w:r w:rsidR="00AE7303">
        <w:rPr>
          <w:rFonts w:asciiTheme="majorHAnsi" w:eastAsiaTheme="minorEastAsia" w:hAnsiTheme="majorHAnsi" w:cs="Arial"/>
          <w:lang w:eastAsia="zh-CN"/>
        </w:rPr>
        <w:t xml:space="preserve">. And we </w:t>
      </w:r>
      <w:proofErr w:type="gramStart"/>
      <w:r w:rsidR="00AE7303">
        <w:rPr>
          <w:rFonts w:asciiTheme="majorHAnsi" w:eastAsiaTheme="minorEastAsia" w:hAnsiTheme="majorHAnsi" w:cs="Arial"/>
          <w:lang w:eastAsia="zh-CN"/>
        </w:rPr>
        <w:t>propose</w:t>
      </w:r>
      <w:proofErr w:type="gramEnd"/>
    </w:p>
    <w:p w14:paraId="6CB66D9B" w14:textId="77777777" w:rsidR="001E302F" w:rsidRPr="001E302F" w:rsidRDefault="001E302F" w:rsidP="001E302F">
      <w:pPr>
        <w:pStyle w:val="Proposal"/>
        <w:numPr>
          <w:ilvl w:val="0"/>
          <w:numId w:val="11"/>
        </w:numPr>
        <w:jc w:val="left"/>
        <w:rPr>
          <w:rFonts w:asciiTheme="majorHAnsi" w:eastAsiaTheme="minorEastAsia" w:hAnsiTheme="majorHAnsi"/>
        </w:rPr>
      </w:pPr>
      <w:r w:rsidRPr="001E302F">
        <w:rPr>
          <w:rFonts w:asciiTheme="majorHAnsi" w:eastAsiaTheme="minorEastAsia" w:hAnsiTheme="majorHAnsi" w:hint="eastAsia"/>
        </w:rPr>
        <w:t>F</w:t>
      </w:r>
      <w:r w:rsidRPr="001E302F">
        <w:rPr>
          <w:rFonts w:asciiTheme="majorHAnsi" w:eastAsiaTheme="minorEastAsia" w:hAnsiTheme="majorHAnsi"/>
        </w:rPr>
        <w:t>or MOCN sharing, the gNB-CU sends multiple F1AP: BROADCAST CONTEXT SETUP REQUEST messages with different TMGIs and the same associated session ID to the gNB-DU.</w:t>
      </w:r>
    </w:p>
    <w:p w14:paraId="77774EE9" w14:textId="77777777" w:rsidR="001E302F" w:rsidRPr="001E302F" w:rsidRDefault="001E302F" w:rsidP="001E302F">
      <w:pPr>
        <w:pStyle w:val="Proposal"/>
        <w:numPr>
          <w:ilvl w:val="0"/>
          <w:numId w:val="11"/>
        </w:numPr>
        <w:jc w:val="left"/>
        <w:rPr>
          <w:rFonts w:asciiTheme="majorHAnsi" w:eastAsiaTheme="minorEastAsia" w:hAnsiTheme="majorHAnsi"/>
        </w:rPr>
      </w:pPr>
      <w:r w:rsidRPr="001E302F">
        <w:rPr>
          <w:rFonts w:asciiTheme="majorHAnsi" w:eastAsiaTheme="minorEastAsia" w:hAnsiTheme="majorHAnsi"/>
        </w:rPr>
        <w:t xml:space="preserve">The gNB-CUs apply the same PDCP configuration as well as MBS QoS flow to MRB mapping by using default value or by pre-configuration in case of multiple cell-ID sharing case. </w:t>
      </w:r>
    </w:p>
    <w:p w14:paraId="6A04705B" w14:textId="77777777" w:rsidR="001E302F" w:rsidRPr="001E302F" w:rsidRDefault="001E302F" w:rsidP="001E302F">
      <w:pPr>
        <w:pStyle w:val="Proposal"/>
        <w:numPr>
          <w:ilvl w:val="0"/>
          <w:numId w:val="11"/>
        </w:numPr>
        <w:jc w:val="left"/>
        <w:rPr>
          <w:rFonts w:asciiTheme="majorHAnsi" w:eastAsiaTheme="minorEastAsia" w:hAnsiTheme="majorHAnsi"/>
        </w:rPr>
      </w:pPr>
      <w:r w:rsidRPr="001E302F">
        <w:rPr>
          <w:rFonts w:asciiTheme="majorHAnsi" w:eastAsiaTheme="minorEastAsia" w:hAnsiTheme="majorHAnsi"/>
        </w:rPr>
        <w:t xml:space="preserve">Single F1-U tunnel for </w:t>
      </w:r>
      <w:proofErr w:type="gramStart"/>
      <w:r w:rsidRPr="001E302F">
        <w:rPr>
          <w:rFonts w:asciiTheme="majorHAnsi" w:eastAsiaTheme="minorEastAsia" w:hAnsiTheme="majorHAnsi"/>
        </w:rPr>
        <w:t>an</w:t>
      </w:r>
      <w:proofErr w:type="gramEnd"/>
      <w:r w:rsidRPr="001E302F">
        <w:rPr>
          <w:rFonts w:asciiTheme="majorHAnsi" w:eastAsiaTheme="minorEastAsia" w:hAnsiTheme="majorHAnsi"/>
        </w:rPr>
        <w:t xml:space="preserve"> broadcast MRB is established for multiple cell-ID case. </w:t>
      </w:r>
    </w:p>
    <w:p w14:paraId="47574087" w14:textId="03D9202E" w:rsidR="001E302F" w:rsidRPr="001E302F" w:rsidRDefault="001E302F" w:rsidP="001E302F">
      <w:pPr>
        <w:pStyle w:val="Proposal"/>
        <w:numPr>
          <w:ilvl w:val="0"/>
          <w:numId w:val="11"/>
        </w:numPr>
        <w:jc w:val="left"/>
        <w:rPr>
          <w:rFonts w:asciiTheme="majorHAnsi" w:eastAsiaTheme="minorEastAsia" w:hAnsiTheme="majorHAnsi"/>
        </w:rPr>
      </w:pPr>
      <w:r w:rsidRPr="001E302F">
        <w:rPr>
          <w:rFonts w:asciiTheme="majorHAnsi" w:eastAsiaTheme="minorEastAsia" w:hAnsiTheme="majorHAnsi"/>
        </w:rPr>
        <w:t>The gNB-DU sends an indication that the gNB-DU has decided to not establish F1-U transport resource of an MRB to gNB-CU</w:t>
      </w:r>
      <w:r>
        <w:rPr>
          <w:rFonts w:asciiTheme="majorHAnsi" w:eastAsiaTheme="minorEastAsia"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88F9" w14:textId="77777777" w:rsidR="00F60EAC" w:rsidRDefault="00F60EAC">
      <w:pPr>
        <w:spacing w:after="0"/>
      </w:pPr>
      <w:r>
        <w:separator/>
      </w:r>
    </w:p>
  </w:endnote>
  <w:endnote w:type="continuationSeparator" w:id="0">
    <w:p w14:paraId="2EEB1D07" w14:textId="77777777" w:rsidR="00F60EAC" w:rsidRDefault="00F60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919A" w14:textId="77777777" w:rsidR="00F60EAC" w:rsidRDefault="00F60EAC">
      <w:pPr>
        <w:spacing w:after="0"/>
      </w:pPr>
      <w:r>
        <w:separator/>
      </w:r>
    </w:p>
  </w:footnote>
  <w:footnote w:type="continuationSeparator" w:id="0">
    <w:p w14:paraId="48014620" w14:textId="77777777" w:rsidR="00F60EAC" w:rsidRDefault="00F60E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05E804FA"/>
    <w:lvl w:ilvl="0" w:tplc="27BEFA1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multilevel"/>
    <w:tmpl w:val="C040FFBE"/>
    <w:lvl w:ilvl="0">
      <w:start w:val="1"/>
      <w:numFmt w:val="decimal"/>
      <w:lvlText w:val="%1"/>
      <w:lvlJc w:val="left"/>
      <w:pPr>
        <w:ind w:left="360" w:hanging="360"/>
      </w:pPr>
      <w:rPr>
        <w:rFonts w:hint="default"/>
      </w:rPr>
    </w:lvl>
    <w:lvl w:ilvl="1">
      <w:start w:val="3"/>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0600C75"/>
    <w:multiLevelType w:val="hybridMultilevel"/>
    <w:tmpl w:val="FC747854"/>
    <w:lvl w:ilvl="0" w:tplc="70D4EE42">
      <w:start w:val="3"/>
      <w:numFmt w:val="bullet"/>
      <w:lvlText w:val="-"/>
      <w:lvlJc w:val="left"/>
      <w:pPr>
        <w:ind w:left="644" w:hanging="360"/>
      </w:pPr>
      <w:rPr>
        <w:rFonts w:ascii="Cambria" w:eastAsia="Times New Roman" w:hAnsi="Cambria"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9"/>
  </w:num>
  <w:num w:numId="2" w16cid:durableId="705713418">
    <w:abstractNumId w:val="7"/>
  </w:num>
  <w:num w:numId="3" w16cid:durableId="170225468">
    <w:abstractNumId w:val="5"/>
  </w:num>
  <w:num w:numId="4" w16cid:durableId="390885023">
    <w:abstractNumId w:val="1"/>
  </w:num>
  <w:num w:numId="5" w16cid:durableId="885415029">
    <w:abstractNumId w:val="4"/>
  </w:num>
  <w:num w:numId="6" w16cid:durableId="999429711">
    <w:abstractNumId w:val="2"/>
  </w:num>
  <w:num w:numId="7" w16cid:durableId="444465653">
    <w:abstractNumId w:val="10"/>
  </w:num>
  <w:num w:numId="8" w16cid:durableId="1963339073">
    <w:abstractNumId w:val="3"/>
  </w:num>
  <w:num w:numId="9" w16cid:durableId="1611428797">
    <w:abstractNumId w:val="6"/>
  </w:num>
  <w:num w:numId="10" w16cid:durableId="924073606">
    <w:abstractNumId w:val="0"/>
  </w:num>
  <w:num w:numId="11" w16cid:durableId="439036504">
    <w:abstractNumId w:val="4"/>
    <w:lvlOverride w:ilvl="0">
      <w:startOverride w:val="1"/>
    </w:lvlOverride>
  </w:num>
  <w:num w:numId="12" w16cid:durableId="1583492124">
    <w:abstractNumId w:val="4"/>
  </w:num>
  <w:num w:numId="13" w16cid:durableId="641039024">
    <w:abstractNumId w:val="4"/>
  </w:num>
  <w:num w:numId="14" w16cid:durableId="1005547419">
    <w:abstractNumId w:val="4"/>
  </w:num>
  <w:num w:numId="15" w16cid:durableId="857888387">
    <w:abstractNumId w:val="4"/>
  </w:num>
  <w:num w:numId="16" w16cid:durableId="1610775234">
    <w:abstractNumId w:val="4"/>
  </w:num>
  <w:num w:numId="17" w16cid:durableId="1770080131">
    <w:abstractNumId w:val="4"/>
  </w:num>
  <w:num w:numId="18" w16cid:durableId="1047413080">
    <w:abstractNumId w:val="4"/>
  </w:num>
  <w:num w:numId="19" w16cid:durableId="7563908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2E8E"/>
    <w:rsid w:val="00064369"/>
    <w:rsid w:val="000650D7"/>
    <w:rsid w:val="000656EE"/>
    <w:rsid w:val="000660B9"/>
    <w:rsid w:val="00066263"/>
    <w:rsid w:val="00066282"/>
    <w:rsid w:val="0006710A"/>
    <w:rsid w:val="000717E4"/>
    <w:rsid w:val="00071ACF"/>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2E02"/>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0E2"/>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0F7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302F"/>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473C"/>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1A"/>
    <w:rsid w:val="0025412E"/>
    <w:rsid w:val="00254499"/>
    <w:rsid w:val="0025450E"/>
    <w:rsid w:val="0025573C"/>
    <w:rsid w:val="00255F45"/>
    <w:rsid w:val="00256A1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238"/>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1AB"/>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15E1"/>
    <w:rsid w:val="004532B9"/>
    <w:rsid w:val="0045424B"/>
    <w:rsid w:val="0045452D"/>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824"/>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B7B4A"/>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2D42"/>
    <w:rsid w:val="00503F31"/>
    <w:rsid w:val="0050544D"/>
    <w:rsid w:val="00505B32"/>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5EC"/>
    <w:rsid w:val="005510DE"/>
    <w:rsid w:val="005512C9"/>
    <w:rsid w:val="00551678"/>
    <w:rsid w:val="005518E1"/>
    <w:rsid w:val="005527ED"/>
    <w:rsid w:val="00552FA4"/>
    <w:rsid w:val="00555085"/>
    <w:rsid w:val="00555965"/>
    <w:rsid w:val="00556C37"/>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36"/>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37E69"/>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4F56"/>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30D"/>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4E95"/>
    <w:rsid w:val="0072518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5F37"/>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44"/>
    <w:rsid w:val="00765596"/>
    <w:rsid w:val="00766DC2"/>
    <w:rsid w:val="007677F9"/>
    <w:rsid w:val="00767CC9"/>
    <w:rsid w:val="00771AB2"/>
    <w:rsid w:val="007723C0"/>
    <w:rsid w:val="00772F84"/>
    <w:rsid w:val="00773E42"/>
    <w:rsid w:val="00773EF9"/>
    <w:rsid w:val="00774973"/>
    <w:rsid w:val="007752A4"/>
    <w:rsid w:val="00776085"/>
    <w:rsid w:val="0077650C"/>
    <w:rsid w:val="00780E7D"/>
    <w:rsid w:val="00780FD8"/>
    <w:rsid w:val="0078205F"/>
    <w:rsid w:val="00783B77"/>
    <w:rsid w:val="0078580F"/>
    <w:rsid w:val="00786339"/>
    <w:rsid w:val="007911A9"/>
    <w:rsid w:val="0079324C"/>
    <w:rsid w:val="00793CFF"/>
    <w:rsid w:val="00793F04"/>
    <w:rsid w:val="007948D0"/>
    <w:rsid w:val="00795534"/>
    <w:rsid w:val="00796761"/>
    <w:rsid w:val="00796ADA"/>
    <w:rsid w:val="007972A1"/>
    <w:rsid w:val="00797524"/>
    <w:rsid w:val="007A0080"/>
    <w:rsid w:val="007A1A52"/>
    <w:rsid w:val="007A4050"/>
    <w:rsid w:val="007A5112"/>
    <w:rsid w:val="007A56E5"/>
    <w:rsid w:val="007A5F4A"/>
    <w:rsid w:val="007A5FF6"/>
    <w:rsid w:val="007B0268"/>
    <w:rsid w:val="007B1598"/>
    <w:rsid w:val="007B2818"/>
    <w:rsid w:val="007B5EFD"/>
    <w:rsid w:val="007B6E00"/>
    <w:rsid w:val="007B7C8C"/>
    <w:rsid w:val="007C0072"/>
    <w:rsid w:val="007C1F26"/>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8AA"/>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4FA5"/>
    <w:rsid w:val="008161E4"/>
    <w:rsid w:val="00816F30"/>
    <w:rsid w:val="00817406"/>
    <w:rsid w:val="0081793E"/>
    <w:rsid w:val="00820AB5"/>
    <w:rsid w:val="00821D91"/>
    <w:rsid w:val="00822F53"/>
    <w:rsid w:val="00823DD7"/>
    <w:rsid w:val="00824585"/>
    <w:rsid w:val="00825814"/>
    <w:rsid w:val="00827E45"/>
    <w:rsid w:val="00827FDC"/>
    <w:rsid w:val="0083016C"/>
    <w:rsid w:val="008307F2"/>
    <w:rsid w:val="0083100F"/>
    <w:rsid w:val="0083139F"/>
    <w:rsid w:val="00832F51"/>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887"/>
    <w:rsid w:val="00937907"/>
    <w:rsid w:val="00940BCE"/>
    <w:rsid w:val="0094171D"/>
    <w:rsid w:val="009417D0"/>
    <w:rsid w:val="00941D36"/>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461"/>
    <w:rsid w:val="0095470C"/>
    <w:rsid w:val="00954C2F"/>
    <w:rsid w:val="00956F7F"/>
    <w:rsid w:val="0095760C"/>
    <w:rsid w:val="00960045"/>
    <w:rsid w:val="0096030E"/>
    <w:rsid w:val="00962C43"/>
    <w:rsid w:val="009636BD"/>
    <w:rsid w:val="0096404F"/>
    <w:rsid w:val="00965674"/>
    <w:rsid w:val="00965A13"/>
    <w:rsid w:val="00966089"/>
    <w:rsid w:val="00966940"/>
    <w:rsid w:val="00966AEF"/>
    <w:rsid w:val="009672CA"/>
    <w:rsid w:val="009714A1"/>
    <w:rsid w:val="00972390"/>
    <w:rsid w:val="009735C1"/>
    <w:rsid w:val="009740D2"/>
    <w:rsid w:val="009757A9"/>
    <w:rsid w:val="0097790F"/>
    <w:rsid w:val="00982076"/>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5DFC"/>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3B16"/>
    <w:rsid w:val="00AB49DB"/>
    <w:rsid w:val="00AB4E97"/>
    <w:rsid w:val="00AB554B"/>
    <w:rsid w:val="00AC15C0"/>
    <w:rsid w:val="00AC21C4"/>
    <w:rsid w:val="00AC5326"/>
    <w:rsid w:val="00AC566D"/>
    <w:rsid w:val="00AC69F4"/>
    <w:rsid w:val="00AD17B4"/>
    <w:rsid w:val="00AD2C0D"/>
    <w:rsid w:val="00AD3BEF"/>
    <w:rsid w:val="00AD4393"/>
    <w:rsid w:val="00AD4A4D"/>
    <w:rsid w:val="00AD5232"/>
    <w:rsid w:val="00AD70FD"/>
    <w:rsid w:val="00AD7776"/>
    <w:rsid w:val="00AD7DC3"/>
    <w:rsid w:val="00AE0089"/>
    <w:rsid w:val="00AE0332"/>
    <w:rsid w:val="00AE084A"/>
    <w:rsid w:val="00AE1143"/>
    <w:rsid w:val="00AE13C9"/>
    <w:rsid w:val="00AE256E"/>
    <w:rsid w:val="00AE307B"/>
    <w:rsid w:val="00AE45FA"/>
    <w:rsid w:val="00AE7303"/>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0C76"/>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5A93"/>
    <w:rsid w:val="00B37503"/>
    <w:rsid w:val="00B4364F"/>
    <w:rsid w:val="00B43CD7"/>
    <w:rsid w:val="00B44D12"/>
    <w:rsid w:val="00B4619B"/>
    <w:rsid w:val="00B465D4"/>
    <w:rsid w:val="00B46623"/>
    <w:rsid w:val="00B470DC"/>
    <w:rsid w:val="00B47D6E"/>
    <w:rsid w:val="00B51065"/>
    <w:rsid w:val="00B52773"/>
    <w:rsid w:val="00B54475"/>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BA8"/>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4EF0"/>
    <w:rsid w:val="00BF5074"/>
    <w:rsid w:val="00BF51E3"/>
    <w:rsid w:val="00BF526D"/>
    <w:rsid w:val="00BF5779"/>
    <w:rsid w:val="00BF58D1"/>
    <w:rsid w:val="00BF6CC9"/>
    <w:rsid w:val="00C00BE5"/>
    <w:rsid w:val="00C0250A"/>
    <w:rsid w:val="00C0261E"/>
    <w:rsid w:val="00C02AE4"/>
    <w:rsid w:val="00C0564F"/>
    <w:rsid w:val="00C06B65"/>
    <w:rsid w:val="00C06BF6"/>
    <w:rsid w:val="00C1130F"/>
    <w:rsid w:val="00C1171F"/>
    <w:rsid w:val="00C14B33"/>
    <w:rsid w:val="00C14DD8"/>
    <w:rsid w:val="00C164A6"/>
    <w:rsid w:val="00C166D4"/>
    <w:rsid w:val="00C177C2"/>
    <w:rsid w:val="00C20FC3"/>
    <w:rsid w:val="00C2274D"/>
    <w:rsid w:val="00C23CB9"/>
    <w:rsid w:val="00C241C9"/>
    <w:rsid w:val="00C24F3D"/>
    <w:rsid w:val="00C2644A"/>
    <w:rsid w:val="00C300FF"/>
    <w:rsid w:val="00C30ADA"/>
    <w:rsid w:val="00C33F68"/>
    <w:rsid w:val="00C40D48"/>
    <w:rsid w:val="00C40FBB"/>
    <w:rsid w:val="00C41130"/>
    <w:rsid w:val="00C4240E"/>
    <w:rsid w:val="00C42B96"/>
    <w:rsid w:val="00C4396A"/>
    <w:rsid w:val="00C43A33"/>
    <w:rsid w:val="00C44D07"/>
    <w:rsid w:val="00C462C3"/>
    <w:rsid w:val="00C46669"/>
    <w:rsid w:val="00C4669F"/>
    <w:rsid w:val="00C47F23"/>
    <w:rsid w:val="00C50AD1"/>
    <w:rsid w:val="00C5599A"/>
    <w:rsid w:val="00C6044B"/>
    <w:rsid w:val="00C60C04"/>
    <w:rsid w:val="00C624BE"/>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646"/>
    <w:rsid w:val="00C82985"/>
    <w:rsid w:val="00C83184"/>
    <w:rsid w:val="00C8482E"/>
    <w:rsid w:val="00C856A8"/>
    <w:rsid w:val="00C86C2E"/>
    <w:rsid w:val="00C90320"/>
    <w:rsid w:val="00C914A2"/>
    <w:rsid w:val="00C92760"/>
    <w:rsid w:val="00C964BF"/>
    <w:rsid w:val="00C96B6E"/>
    <w:rsid w:val="00C97018"/>
    <w:rsid w:val="00C975C2"/>
    <w:rsid w:val="00C97B87"/>
    <w:rsid w:val="00CA0BFE"/>
    <w:rsid w:val="00CA1B74"/>
    <w:rsid w:val="00CA30DD"/>
    <w:rsid w:val="00CA400B"/>
    <w:rsid w:val="00CA5414"/>
    <w:rsid w:val="00CA5BFB"/>
    <w:rsid w:val="00CA7AF1"/>
    <w:rsid w:val="00CA7F5F"/>
    <w:rsid w:val="00CB078B"/>
    <w:rsid w:val="00CB0BF0"/>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50F1"/>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E52"/>
    <w:rsid w:val="00D06F83"/>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9096F"/>
    <w:rsid w:val="00D92896"/>
    <w:rsid w:val="00D92A4E"/>
    <w:rsid w:val="00D937E4"/>
    <w:rsid w:val="00D95007"/>
    <w:rsid w:val="00D957C4"/>
    <w:rsid w:val="00D9631B"/>
    <w:rsid w:val="00D96F68"/>
    <w:rsid w:val="00D979DE"/>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6D04"/>
    <w:rsid w:val="00DD77B6"/>
    <w:rsid w:val="00DD7971"/>
    <w:rsid w:val="00DD7DC4"/>
    <w:rsid w:val="00DD7EC3"/>
    <w:rsid w:val="00DE0046"/>
    <w:rsid w:val="00DE1E95"/>
    <w:rsid w:val="00DE2684"/>
    <w:rsid w:val="00DE49C8"/>
    <w:rsid w:val="00DE5685"/>
    <w:rsid w:val="00DE6BB0"/>
    <w:rsid w:val="00DF100C"/>
    <w:rsid w:val="00DF18B9"/>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2F6"/>
    <w:rsid w:val="00E43AD9"/>
    <w:rsid w:val="00E4506A"/>
    <w:rsid w:val="00E45FED"/>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3DF2"/>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1A03"/>
    <w:rsid w:val="00EA35C9"/>
    <w:rsid w:val="00EA415B"/>
    <w:rsid w:val="00EA4195"/>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EF62D6"/>
    <w:rsid w:val="00F00858"/>
    <w:rsid w:val="00F01D9E"/>
    <w:rsid w:val="00F043C7"/>
    <w:rsid w:val="00F05830"/>
    <w:rsid w:val="00F058DF"/>
    <w:rsid w:val="00F07005"/>
    <w:rsid w:val="00F0724C"/>
    <w:rsid w:val="00F13619"/>
    <w:rsid w:val="00F15078"/>
    <w:rsid w:val="00F160FD"/>
    <w:rsid w:val="00F16B65"/>
    <w:rsid w:val="00F16D18"/>
    <w:rsid w:val="00F20177"/>
    <w:rsid w:val="00F2033E"/>
    <w:rsid w:val="00F20E06"/>
    <w:rsid w:val="00F20E2F"/>
    <w:rsid w:val="00F225A2"/>
    <w:rsid w:val="00F22A67"/>
    <w:rsid w:val="00F22B9A"/>
    <w:rsid w:val="00F2447A"/>
    <w:rsid w:val="00F247F5"/>
    <w:rsid w:val="00F24B47"/>
    <w:rsid w:val="00F25AF6"/>
    <w:rsid w:val="00F263AA"/>
    <w:rsid w:val="00F27ABA"/>
    <w:rsid w:val="00F316BF"/>
    <w:rsid w:val="00F318B1"/>
    <w:rsid w:val="00F32220"/>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0EAC"/>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0"/>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0"/>
    <w:qFormat/>
    <w:rsid w:val="009474DB"/>
    <w:pPr>
      <w:pBdr>
        <w:top w:val="none" w:sz="0" w:space="0" w:color="auto"/>
      </w:pBdr>
      <w:spacing w:before="180"/>
      <w:outlineLvl w:val="1"/>
    </w:pPr>
    <w:rPr>
      <w:sz w:val="32"/>
    </w:rPr>
  </w:style>
  <w:style w:type="paragraph" w:styleId="3">
    <w:name w:val="heading 3"/>
    <w:aliases w:val="H3,h3,heading 3"/>
    <w:basedOn w:val="2"/>
    <w:next w:val="a0"/>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link w:val="40"/>
    <w:qFormat/>
    <w:rsid w:val="009474DB"/>
    <w:pPr>
      <w:ind w:left="1418" w:hanging="1418"/>
      <w:outlineLvl w:val="3"/>
    </w:pPr>
    <w:rPr>
      <w:sz w:val="24"/>
    </w:rPr>
  </w:style>
  <w:style w:type="paragraph" w:styleId="5">
    <w:name w:val="heading 5"/>
    <w:aliases w:val="h5,Heading5"/>
    <w:basedOn w:val="4"/>
    <w:next w:val="a0"/>
    <w:link w:val="50"/>
    <w:qFormat/>
    <w:rsid w:val="009474DB"/>
    <w:pPr>
      <w:ind w:left="1701" w:hanging="1701"/>
      <w:outlineLvl w:val="4"/>
    </w:pPr>
    <w:rPr>
      <w:sz w:val="22"/>
    </w:rPr>
  </w:style>
  <w:style w:type="paragraph" w:styleId="6">
    <w:name w:val="heading 6"/>
    <w:aliases w:val="h6"/>
    <w:basedOn w:val="H6"/>
    <w:next w:val="a0"/>
    <w:qFormat/>
    <w:rsid w:val="009474DB"/>
    <w:pPr>
      <w:outlineLvl w:val="5"/>
    </w:pPr>
  </w:style>
  <w:style w:type="paragraph" w:styleId="7">
    <w:name w:val="heading 7"/>
    <w:basedOn w:val="H6"/>
    <w:next w:val="a0"/>
    <w:qFormat/>
    <w:rsid w:val="009474DB"/>
    <w:pPr>
      <w:outlineLvl w:val="6"/>
    </w:pPr>
  </w:style>
  <w:style w:type="paragraph" w:styleId="8">
    <w:name w:val="heading 8"/>
    <w:basedOn w:val="1"/>
    <w:next w:val="a0"/>
    <w:qFormat/>
    <w:rsid w:val="009474DB"/>
    <w:pPr>
      <w:ind w:left="0" w:firstLine="0"/>
      <w:outlineLvl w:val="7"/>
    </w:pPr>
  </w:style>
  <w:style w:type="paragraph" w:styleId="9">
    <w:name w:val="heading 9"/>
    <w:aliases w:val="Figure Heading,FH"/>
    <w:basedOn w:val="8"/>
    <w:next w:val="a0"/>
    <w:qFormat/>
    <w:rsid w:val="009474D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6">
    <w:name w:val="footer"/>
    <w:basedOn w:val="a4"/>
    <w:semiHidden/>
    <w:rsid w:val="009474DB"/>
    <w:pPr>
      <w:jc w:val="center"/>
    </w:pPr>
    <w:rPr>
      <w:i/>
    </w:rPr>
  </w:style>
  <w:style w:type="paragraph" w:styleId="a7">
    <w:name w:val="annotation text"/>
    <w:basedOn w:val="a0"/>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rsid w:val="00A74D97"/>
  </w:style>
  <w:style w:type="paragraph" w:customStyle="1" w:styleId="B1">
    <w:name w:val="B1"/>
    <w:basedOn w:val="aa"/>
    <w:link w:val="B1Char1"/>
    <w:qFormat/>
    <w:rsid w:val="009474DB"/>
  </w:style>
  <w:style w:type="paragraph" w:customStyle="1" w:styleId="00BodyText">
    <w:name w:val="00 BodyText"/>
    <w:basedOn w:val="a0"/>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0">
    <w:name w:val="??? 2"/>
    <w:basedOn w:val="ab"/>
    <w:next w:val="ab"/>
    <w:rsid w:val="00A74D97"/>
    <w:pPr>
      <w:keepNext/>
    </w:pPr>
    <w:rPr>
      <w:rFonts w:ascii="Arial" w:hAnsi="Arial"/>
      <w:b/>
      <w:sz w:val="24"/>
    </w:rPr>
  </w:style>
  <w:style w:type="character" w:styleId="ac">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0"/>
    <w:semiHidden/>
    <w:rsid w:val="00A74D97"/>
    <w:rPr>
      <w:rFonts w:ascii="Arial" w:hAnsi="Arial" w:cs="Arial"/>
      <w:color w:val="FF0000"/>
    </w:rPr>
  </w:style>
  <w:style w:type="paragraph" w:styleId="ae">
    <w:name w:val="Balloon Text"/>
    <w:basedOn w:val="a0"/>
    <w:link w:val="af"/>
    <w:unhideWhenUsed/>
    <w:rsid w:val="004E3939"/>
    <w:rPr>
      <w:rFonts w:ascii="Tahoma" w:hAnsi="Tahoma" w:cs="Tahoma"/>
      <w:sz w:val="16"/>
      <w:szCs w:val="16"/>
    </w:rPr>
  </w:style>
  <w:style w:type="character" w:customStyle="1" w:styleId="af">
    <w:name w:val="批注框文本 字符"/>
    <w:basedOn w:val="a1"/>
    <w:link w:val="ae"/>
    <w:rsid w:val="004E3939"/>
    <w:rPr>
      <w:rFonts w:ascii="Tahoma" w:hAnsi="Tahoma" w:cs="Tahoma"/>
      <w:sz w:val="16"/>
      <w:szCs w:val="1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0"/>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474DB"/>
    <w:pPr>
      <w:outlineLvl w:val="9"/>
    </w:pPr>
  </w:style>
  <w:style w:type="paragraph" w:styleId="22">
    <w:name w:val="List Number 2"/>
    <w:basedOn w:val="af0"/>
    <w:semiHidden/>
    <w:rsid w:val="009474DB"/>
    <w:pPr>
      <w:ind w:left="851"/>
    </w:pPr>
  </w:style>
  <w:style w:type="character" w:styleId="af1">
    <w:name w:val="footnote reference"/>
    <w:basedOn w:val="a1"/>
    <w:semiHidden/>
    <w:rsid w:val="009474DB"/>
    <w:rPr>
      <w:b/>
      <w:position w:val="6"/>
      <w:sz w:val="16"/>
    </w:rPr>
  </w:style>
  <w:style w:type="paragraph" w:styleId="af2">
    <w:name w:val="footnote text"/>
    <w:basedOn w:val="a0"/>
    <w:link w:val="af3"/>
    <w:semiHidden/>
    <w:rsid w:val="009474DB"/>
    <w:pPr>
      <w:keepLines/>
      <w:spacing w:after="0"/>
      <w:ind w:left="454" w:hanging="454"/>
    </w:pPr>
    <w:rPr>
      <w:sz w:val="16"/>
    </w:rPr>
  </w:style>
  <w:style w:type="character" w:customStyle="1" w:styleId="af3">
    <w:name w:val="脚注文本 字符"/>
    <w:basedOn w:val="a1"/>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0"/>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0"/>
    <w:rsid w:val="009474DB"/>
    <w:pPr>
      <w:keepLines/>
      <w:ind w:left="1702" w:hanging="1418"/>
    </w:pPr>
  </w:style>
  <w:style w:type="paragraph" w:customStyle="1" w:styleId="FP">
    <w:name w:val="FP"/>
    <w:basedOn w:val="a0"/>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0"/>
    <w:semiHidden/>
    <w:rsid w:val="009474DB"/>
    <w:pPr>
      <w:ind w:left="1985" w:hanging="1985"/>
    </w:pPr>
  </w:style>
  <w:style w:type="paragraph" w:styleId="TOC7">
    <w:name w:val="toc 7"/>
    <w:basedOn w:val="TOC6"/>
    <w:next w:val="a0"/>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a"/>
    <w:rsid w:val="009474DB"/>
  </w:style>
  <w:style w:type="paragraph" w:customStyle="1" w:styleId="EQ">
    <w:name w:val="EQ"/>
    <w:basedOn w:val="a0"/>
    <w:next w:val="a0"/>
    <w:rsid w:val="009474DB"/>
    <w:pPr>
      <w:keepLines/>
      <w:tabs>
        <w:tab w:val="center" w:pos="4536"/>
        <w:tab w:val="right" w:pos="9072"/>
      </w:tabs>
    </w:pPr>
    <w:rPr>
      <w:noProof/>
    </w:rPr>
  </w:style>
  <w:style w:type="paragraph" w:customStyle="1" w:styleId="TH">
    <w:name w:val="TH"/>
    <w:basedOn w:val="a0"/>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0"/>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0"/>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a">
    <w:name w:val="List"/>
    <w:basedOn w:val="a0"/>
    <w:semiHidden/>
    <w:rsid w:val="009474DB"/>
    <w:pPr>
      <w:ind w:left="568" w:hanging="284"/>
    </w:pPr>
  </w:style>
  <w:style w:type="paragraph" w:styleId="af4">
    <w:name w:val="List Bullet"/>
    <w:basedOn w:val="aa"/>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1"/>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0"/>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0"/>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1"/>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2"/>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0"/>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1"/>
    <w:uiPriority w:val="99"/>
    <w:semiHidden/>
    <w:unhideWhenUsed/>
    <w:rsid w:val="00396B66"/>
    <w:rPr>
      <w:color w:val="800080" w:themeColor="followedHyperlink"/>
      <w:u w:val="single"/>
    </w:rPr>
  </w:style>
  <w:style w:type="character" w:styleId="afe">
    <w:name w:val="Unresolved Mention"/>
    <w:basedOn w:val="a1"/>
    <w:uiPriority w:val="99"/>
    <w:semiHidden/>
    <w:unhideWhenUsed/>
    <w:rsid w:val="00BF4A70"/>
    <w:rPr>
      <w:color w:val="605E5C"/>
      <w:shd w:val="clear" w:color="auto" w:fill="E1DFDD"/>
    </w:rPr>
  </w:style>
  <w:style w:type="character" w:styleId="aff">
    <w:name w:val="Strong"/>
    <w:basedOn w:val="a1"/>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1"/>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0"/>
    <w:next w:val="a0"/>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EC60B7"/>
    <w:rPr>
      <w:rFonts w:asciiTheme="minorHAnsi" w:hAnsiTheme="minorHAnsi" w:cstheme="minorBidi"/>
      <w:b/>
      <w:bCs/>
      <w:sz w:val="24"/>
      <w:szCs w:val="24"/>
      <w:lang w:eastAsia="zh-CN"/>
    </w:rPr>
  </w:style>
  <w:style w:type="paragraph" w:customStyle="1" w:styleId="Agreement">
    <w:name w:val="Agreement"/>
    <w:basedOn w:val="a0"/>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0"/>
    <w:next w:val="a0"/>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0"/>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0"/>
    <w:link w:val="aff2"/>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1"/>
    <w:link w:val="aff1"/>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paragraph" w:customStyle="1" w:styleId="a">
    <w:name w:val="列表（自定义）"/>
    <w:basedOn w:val="a0"/>
    <w:qFormat/>
    <w:rsid w:val="007C1F26"/>
    <w:pPr>
      <w:numPr>
        <w:numId w:val="10"/>
      </w:numPr>
      <w:spacing w:before="60" w:after="120" w:line="259" w:lineRule="auto"/>
    </w:pPr>
    <w:rPr>
      <w:rFonts w:eastAsiaTheme="minorEastAsia" w:hint="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35474">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2</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5217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80</cp:revision>
  <cp:lastPrinted>2023-03-21T08:33:00Z</cp:lastPrinted>
  <dcterms:created xsi:type="dcterms:W3CDTF">2023-02-14T03:33:00Z</dcterms:created>
  <dcterms:modified xsi:type="dcterms:W3CDTF">2023-08-11T00:37:00Z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